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F4" w:rsidRDefault="006301F4" w:rsidP="006301F4">
      <w:pPr>
        <w:rPr>
          <w:b/>
        </w:rPr>
      </w:pPr>
      <w:r>
        <w:rPr>
          <w:b/>
        </w:rPr>
        <w:t>15 features of case presentation speech events gleaned from visits made to 4 Asian university hospitals or affiliated hospitals</w:t>
      </w:r>
    </w:p>
    <w:p w:rsidR="006301F4" w:rsidRDefault="006301F4" w:rsidP="006301F4">
      <w:pPr>
        <w:pStyle w:val="ListParagraph"/>
        <w:numPr>
          <w:ilvl w:val="0"/>
          <w:numId w:val="1"/>
        </w:numPr>
      </w:pPr>
      <w:r>
        <w:t>Case presentations are most commonly performed as early morning intra-departmental discussion sessions, often with junior doctors and trainees reporting on a rotating basis. In some cases, these are done daily, in others once every week or two weeks.</w:t>
      </w:r>
    </w:p>
    <w:p w:rsidR="006301F4" w:rsidRDefault="006301F4" w:rsidP="006301F4">
      <w:pPr>
        <w:pStyle w:val="ListParagraph"/>
      </w:pPr>
    </w:p>
    <w:p w:rsidR="006301F4" w:rsidRDefault="006301F4" w:rsidP="006301F4">
      <w:pPr>
        <w:pStyle w:val="ListParagraph"/>
        <w:numPr>
          <w:ilvl w:val="0"/>
          <w:numId w:val="1"/>
        </w:numPr>
      </w:pPr>
      <w:r>
        <w:t>These were performed more</w:t>
      </w:r>
      <w:r>
        <w:t xml:space="preserve"> often</w:t>
      </w:r>
      <w:r>
        <w:t xml:space="preserve"> in English than in the local language.</w:t>
      </w:r>
    </w:p>
    <w:p w:rsidR="006301F4" w:rsidRDefault="006301F4" w:rsidP="006301F4">
      <w:pPr>
        <w:pStyle w:val="ListParagraph"/>
      </w:pPr>
    </w:p>
    <w:p w:rsidR="006301F4" w:rsidRDefault="006301F4" w:rsidP="006301F4">
      <w:pPr>
        <w:pStyle w:val="ListParagraph"/>
        <w:numPr>
          <w:ilvl w:val="0"/>
          <w:numId w:val="1"/>
        </w:numPr>
      </w:pPr>
      <w:r>
        <w:t>These have both educational value (peer</w:t>
      </w:r>
      <w:r>
        <w:t>-to-peer information sharing) and</w:t>
      </w:r>
      <w:r>
        <w:t xml:space="preserve"> are </w:t>
      </w:r>
      <w:r>
        <w:t xml:space="preserve">also </w:t>
      </w:r>
      <w:r>
        <w:t>used as assessment tools, with both peers and seniors assessing clinical performance.</w:t>
      </w:r>
    </w:p>
    <w:p w:rsidR="006301F4" w:rsidRDefault="006301F4" w:rsidP="006301F4">
      <w:pPr>
        <w:pStyle w:val="ListParagraph"/>
      </w:pPr>
    </w:p>
    <w:p w:rsidR="006301F4" w:rsidRDefault="006301F4" w:rsidP="006301F4">
      <w:pPr>
        <w:pStyle w:val="ListParagraph"/>
        <w:numPr>
          <w:ilvl w:val="0"/>
          <w:numId w:val="1"/>
        </w:numPr>
      </w:pPr>
      <w:r>
        <w:t xml:space="preserve">Whether the performers adhere to a strict format depends on the institution. Some follow the SOAP format (Subjective Observation Assessment Plan) closely, </w:t>
      </w:r>
      <w:r>
        <w:t xml:space="preserve">some follow a set chart, </w:t>
      </w:r>
      <w:r>
        <w:t>whereas others allow for more flexibility</w:t>
      </w:r>
      <w:r>
        <w:t xml:space="preserve"> depending upon the case</w:t>
      </w:r>
      <w:r>
        <w:t>.</w:t>
      </w:r>
    </w:p>
    <w:p w:rsidR="006301F4" w:rsidRDefault="006301F4" w:rsidP="006301F4"/>
    <w:p w:rsidR="006301F4" w:rsidRPr="006301F4" w:rsidRDefault="006301F4" w:rsidP="006301F4">
      <w:pPr>
        <w:pStyle w:val="ListParagraph"/>
        <w:numPr>
          <w:ilvl w:val="0"/>
          <w:numId w:val="1"/>
        </w:numPr>
        <w:rPr>
          <w:i/>
        </w:rPr>
      </w:pPr>
      <w:r>
        <w:t xml:space="preserve">If </w:t>
      </w:r>
      <w:r>
        <w:t>and when the case presentation wa</w:t>
      </w:r>
      <w:r>
        <w:t xml:space="preserve">s assessed, the </w:t>
      </w:r>
      <w:r>
        <w:t>focus tended to be</w:t>
      </w:r>
      <w:r>
        <w:t xml:space="preserve"> upon the following categor</w:t>
      </w:r>
      <w:r>
        <w:t xml:space="preserve">ies: </w:t>
      </w:r>
      <w:r w:rsidRPr="006301F4">
        <w:rPr>
          <w:i/>
        </w:rPr>
        <w:t>Construction of the case, a</w:t>
      </w:r>
      <w:r w:rsidRPr="006301F4">
        <w:rPr>
          <w:i/>
        </w:rPr>
        <w:t>ssessment of patient’s clinical condi</w:t>
      </w:r>
      <w:r w:rsidRPr="006301F4">
        <w:rPr>
          <w:i/>
        </w:rPr>
        <w:t>tion, the lab examinations and i</w:t>
      </w:r>
      <w:r w:rsidRPr="006301F4">
        <w:rPr>
          <w:i/>
        </w:rPr>
        <w:t>nterpretations thereof, follow-up discussion, observations, and subsequent clinical planning/follow-up.</w:t>
      </w:r>
    </w:p>
    <w:p w:rsidR="006301F4" w:rsidRDefault="006301F4" w:rsidP="006301F4">
      <w:pPr>
        <w:pStyle w:val="ListParagraph"/>
      </w:pPr>
    </w:p>
    <w:p w:rsidR="006301F4" w:rsidRDefault="006301F4" w:rsidP="006301F4">
      <w:pPr>
        <w:pStyle w:val="ListParagraph"/>
        <w:numPr>
          <w:ilvl w:val="0"/>
          <w:numId w:val="1"/>
        </w:numPr>
      </w:pPr>
      <w:r>
        <w:t>Generally, the assessment of the case was performed holistically.</w:t>
      </w:r>
    </w:p>
    <w:p w:rsidR="006301F4" w:rsidRDefault="006301F4" w:rsidP="006301F4">
      <w:pPr>
        <w:pStyle w:val="ListParagraph"/>
      </w:pPr>
    </w:p>
    <w:p w:rsidR="006301F4" w:rsidRDefault="006301F4" w:rsidP="006301F4">
      <w:pPr>
        <w:pStyle w:val="ListParagraph"/>
        <w:numPr>
          <w:ilvl w:val="0"/>
          <w:numId w:val="1"/>
        </w:numPr>
      </w:pPr>
      <w:r>
        <w:t>The form</w:t>
      </w:r>
      <w:r>
        <w:t>at/structure of the case presentation</w:t>
      </w:r>
      <w:r>
        <w:t xml:space="preserve"> depend</w:t>
      </w:r>
      <w:r>
        <w:t>ed largely</w:t>
      </w:r>
      <w:r>
        <w:t xml:space="preserve"> on the type of treatment or medical event, which itself is determined largely by the functions associated with the clinical department. In anaesthesiology, developing a differential diagnosis in prior or given data and the focus is instead on a single significant event that occurred while the patient was under anaesthesia.</w:t>
      </w:r>
    </w:p>
    <w:p w:rsidR="006301F4" w:rsidRDefault="006301F4" w:rsidP="006301F4"/>
    <w:p w:rsidR="006301F4" w:rsidRDefault="006301F4" w:rsidP="006301F4">
      <w:pPr>
        <w:pStyle w:val="ListParagraph"/>
        <w:numPr>
          <w:ilvl w:val="0"/>
          <w:numId w:val="1"/>
        </w:numPr>
      </w:pPr>
      <w:r>
        <w:t>In some countries</w:t>
      </w:r>
      <w:r>
        <w:t>,</w:t>
      </w:r>
      <w:r>
        <w:t xml:space="preserve"> religion did play a factor in</w:t>
      </w:r>
      <w:r>
        <w:t xml:space="preserve"> terms of</w:t>
      </w:r>
      <w:r>
        <w:t xml:space="preserve"> the treatment of the patient, particula</w:t>
      </w:r>
      <w:r>
        <w:t>rly whe</w:t>
      </w:r>
      <w:r>
        <w:t>n constructing a social history. Local herbal remedies were also frequently included in the narrative and/or assessment.</w:t>
      </w:r>
    </w:p>
    <w:p w:rsidR="006301F4" w:rsidRDefault="006301F4" w:rsidP="006301F4">
      <w:pPr>
        <w:pStyle w:val="ListParagraph"/>
      </w:pPr>
    </w:p>
    <w:p w:rsidR="006301F4" w:rsidRDefault="006301F4" w:rsidP="006301F4">
      <w:pPr>
        <w:pStyle w:val="ListParagraph"/>
        <w:numPr>
          <w:ilvl w:val="0"/>
          <w:numId w:val="1"/>
        </w:numPr>
      </w:pPr>
      <w:r>
        <w:t>Some case presentation</w:t>
      </w:r>
      <w:r>
        <w:t xml:space="preserve">s included a number of abbreviations </w:t>
      </w:r>
      <w:r>
        <w:t xml:space="preserve">used </w:t>
      </w:r>
      <w:r>
        <w:t xml:space="preserve">as a matter of course: </w:t>
      </w:r>
      <w:r>
        <w:t xml:space="preserve">For example: </w:t>
      </w:r>
      <w:proofErr w:type="spellStart"/>
      <w:r>
        <w:t>Dx</w:t>
      </w:r>
      <w:proofErr w:type="spellEnd"/>
      <w:r>
        <w:t xml:space="preserve"> for diagnosis, further broken down into </w:t>
      </w:r>
      <w:proofErr w:type="spellStart"/>
      <w:r>
        <w:t>IDx</w:t>
      </w:r>
      <w:proofErr w:type="spellEnd"/>
      <w:r>
        <w:t xml:space="preserve"> (initial diagnosis) and/or </w:t>
      </w:r>
      <w:proofErr w:type="spellStart"/>
      <w:r>
        <w:t>PDx</w:t>
      </w:r>
      <w:proofErr w:type="spellEnd"/>
      <w:r>
        <w:t xml:space="preserve"> (provisional diagnosis). Treatment was rendered as </w:t>
      </w:r>
      <w:proofErr w:type="spellStart"/>
      <w:r>
        <w:t>Tx</w:t>
      </w:r>
      <w:proofErr w:type="spellEnd"/>
      <w:r>
        <w:t xml:space="preserve">. </w:t>
      </w:r>
      <w:r>
        <w:t>Learners should be familiar with the most widely-used abbreviations and acronyms.</w:t>
      </w:r>
    </w:p>
    <w:p w:rsidR="006301F4" w:rsidRDefault="006301F4" w:rsidP="006301F4">
      <w:pPr>
        <w:pStyle w:val="ListParagraph"/>
      </w:pPr>
    </w:p>
    <w:p w:rsidR="006301F4" w:rsidRDefault="006301F4" w:rsidP="006301F4">
      <w:pPr>
        <w:pStyle w:val="ListParagraph"/>
        <w:numPr>
          <w:ilvl w:val="0"/>
          <w:numId w:val="1"/>
        </w:numPr>
      </w:pPr>
      <w:r>
        <w:lastRenderedPageBreak/>
        <w:t>In several cases, negative data was considered highly significant and young clinicians should learn</w:t>
      </w:r>
      <w:r>
        <w:t xml:space="preserve"> how to assess and express such cases</w:t>
      </w:r>
      <w:r>
        <w:t>.</w:t>
      </w:r>
      <w:r>
        <w:t xml:space="preserve"> On the other hand, the presentation of i</w:t>
      </w:r>
      <w:r>
        <w:t>rrelevant data often interfered with the case, and young clinicians should likewise learn to be selective rather than comprehensive.</w:t>
      </w:r>
    </w:p>
    <w:p w:rsidR="006301F4" w:rsidRDefault="006301F4" w:rsidP="006301F4">
      <w:pPr>
        <w:pStyle w:val="ListParagraph"/>
      </w:pPr>
    </w:p>
    <w:p w:rsidR="006301F4" w:rsidRDefault="006301F4" w:rsidP="006301F4">
      <w:pPr>
        <w:pStyle w:val="ListParagraph"/>
        <w:numPr>
          <w:ilvl w:val="0"/>
          <w:numId w:val="1"/>
        </w:numPr>
      </w:pPr>
      <w:r>
        <w:t>An emphasis upon noting significant items and prioritizing or organizing them either chronologically or in terms of pertinence</w:t>
      </w:r>
      <w:r>
        <w:t>, such that these</w:t>
      </w:r>
      <w:r>
        <w:t xml:space="preserve"> are salient in the case presentation</w:t>
      </w:r>
      <w:r>
        <w:t>,</w:t>
      </w:r>
      <w:r>
        <w:t xml:space="preserve"> formed much</w:t>
      </w:r>
      <w:r>
        <w:t xml:space="preserve"> of the critical response from</w:t>
      </w:r>
      <w:r>
        <w:t xml:space="preserve"> senior clinicians.</w:t>
      </w:r>
    </w:p>
    <w:p w:rsidR="006301F4" w:rsidRDefault="006301F4" w:rsidP="006301F4">
      <w:pPr>
        <w:pStyle w:val="ListParagraph"/>
      </w:pPr>
    </w:p>
    <w:p w:rsidR="006301F4" w:rsidRDefault="006301F4" w:rsidP="006301F4">
      <w:pPr>
        <w:pStyle w:val="ListParagraph"/>
      </w:pPr>
    </w:p>
    <w:p w:rsidR="006301F4" w:rsidRDefault="006301F4" w:rsidP="006301F4">
      <w:pPr>
        <w:pStyle w:val="ListParagraph"/>
        <w:numPr>
          <w:ilvl w:val="0"/>
          <w:numId w:val="1"/>
        </w:numPr>
      </w:pPr>
      <w:r>
        <w:t>Some of the case presentations le</w:t>
      </w:r>
      <w:r>
        <w:t>d to somewhat muted open discussion in English, more robust discu</w:t>
      </w:r>
      <w:r>
        <w:t>ssion in the native language, and always</w:t>
      </w:r>
      <w:r>
        <w:t xml:space="preserve"> some final consolidating commentary from senior participants.</w:t>
      </w:r>
    </w:p>
    <w:p w:rsidR="006301F4" w:rsidRDefault="006301F4" w:rsidP="006301F4">
      <w:pPr>
        <w:pStyle w:val="ListParagraph"/>
      </w:pPr>
    </w:p>
    <w:p w:rsidR="006301F4" w:rsidRDefault="006301F4" w:rsidP="006301F4">
      <w:pPr>
        <w:pStyle w:val="ListParagraph"/>
        <w:numPr>
          <w:ilvl w:val="0"/>
          <w:numId w:val="1"/>
        </w:numPr>
      </w:pPr>
      <w:r>
        <w:t xml:space="preserve">Management and follow-up, including prognosis, were often given more credence than </w:t>
      </w:r>
      <w:r>
        <w:t xml:space="preserve">the </w:t>
      </w:r>
      <w:r>
        <w:t>data gained from history-taking.</w:t>
      </w:r>
      <w:r>
        <w:t xml:space="preserve"> Learners should be aware of how to express future factors rather than presenting a mere summary of past developments.</w:t>
      </w:r>
    </w:p>
    <w:p w:rsidR="006301F4" w:rsidRDefault="006301F4" w:rsidP="006301F4">
      <w:pPr>
        <w:pStyle w:val="ListParagraph"/>
      </w:pPr>
    </w:p>
    <w:p w:rsidR="006301F4" w:rsidRDefault="006301F4" w:rsidP="006301F4">
      <w:pPr>
        <w:pStyle w:val="ListParagraph"/>
        <w:numPr>
          <w:ilvl w:val="0"/>
          <w:numId w:val="1"/>
        </w:numPr>
      </w:pPr>
      <w:r>
        <w:t xml:space="preserve">Although the presenters used special English terminology almost flawlessly, they did have some trouble with the use of </w:t>
      </w:r>
      <w:r>
        <w:t xml:space="preserve">English </w:t>
      </w:r>
      <w:r>
        <w:t>formulaic academic phrases, which were not explicitly taught at any of the institutions that I visited.</w:t>
      </w:r>
    </w:p>
    <w:p w:rsidR="006301F4" w:rsidRDefault="006301F4" w:rsidP="006301F4">
      <w:pPr>
        <w:pStyle w:val="ListParagraph"/>
      </w:pPr>
    </w:p>
    <w:p w:rsidR="006301F4" w:rsidRDefault="006301F4" w:rsidP="006301F4">
      <w:pPr>
        <w:pStyle w:val="ListParagraph"/>
        <w:numPr>
          <w:ilvl w:val="0"/>
          <w:numId w:val="1"/>
        </w:numPr>
      </w:pPr>
      <w:r>
        <w:t>Presentations formats varied in terms of the method of presenting general patient data. Some distinguished between current vs. returning inpatient or outpatient. Some explicitly stated the doctor(s) in charge. Some maintained a summary of discrete categories marked only with + or – symbols. P</w:t>
      </w:r>
      <w:r>
        <w:t>resenters were often</w:t>
      </w:r>
      <w:r>
        <w:t xml:space="preserve"> asked why they chose to report on a particular problem or what, if any, problems they encountered during the case.</w:t>
      </w:r>
    </w:p>
    <w:p w:rsidR="006301F4" w:rsidRDefault="006301F4" w:rsidP="006301F4">
      <w:pPr>
        <w:pStyle w:val="ListParagraph"/>
      </w:pPr>
    </w:p>
    <w:p w:rsidR="006301F4" w:rsidRDefault="006301F4" w:rsidP="006301F4">
      <w:r>
        <w:t xml:space="preserve">In summary, formalized </w:t>
      </w:r>
      <w:r>
        <w:t xml:space="preserve">English </w:t>
      </w:r>
      <w:r>
        <w:t>case presentations are a core speech event fo</w:t>
      </w:r>
      <w:r>
        <w:t>r young physicians</w:t>
      </w:r>
      <w:r>
        <w:t xml:space="preserve"> and play a central role not only in developing clinical English skills, but also in furthering the clinicians’ understanding of their specialist field. It</w:t>
      </w:r>
      <w:r>
        <w:t xml:space="preserve"> can also serve to impress</w:t>
      </w:r>
      <w:r>
        <w:t xml:space="preserve"> senior</w:t>
      </w:r>
      <w:r>
        <w:t xml:space="preserve"> clinicians and thereby improve one’s</w:t>
      </w:r>
      <w:r>
        <w:t xml:space="preserve"> position or reputation in the hospital. Finally, the informative value for audience/p</w:t>
      </w:r>
      <w:r>
        <w:t>articipants should not be underst</w:t>
      </w:r>
      <w:r>
        <w:t xml:space="preserve">ated – a well-presented case furthers </w:t>
      </w:r>
      <w:r>
        <w:t xml:space="preserve">everyone’s </w:t>
      </w:r>
      <w:r>
        <w:t>understanding of i</w:t>
      </w:r>
      <w:r>
        <w:t>nteresting or complex cases, which ultimately</w:t>
      </w:r>
      <w:r>
        <w:t xml:space="preserve"> benefits both doctors and their patients.</w:t>
      </w:r>
      <w:bookmarkStart w:id="0" w:name="_GoBack"/>
      <w:bookmarkEnd w:id="0"/>
    </w:p>
    <w:p w:rsidR="006301F4" w:rsidRDefault="006301F4" w:rsidP="006301F4">
      <w:r>
        <w:t>*This report will be developed into a formal academic paper to be published at a later date.</w:t>
      </w:r>
    </w:p>
    <w:p w:rsidR="003A0214" w:rsidRDefault="006301F4"/>
    <w:sectPr w:rsidR="003A0214">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36C42"/>
    <w:multiLevelType w:val="hybridMultilevel"/>
    <w:tmpl w:val="818A2E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F4"/>
    <w:rsid w:val="003B4879"/>
    <w:rsid w:val="006301F4"/>
    <w:rsid w:val="008F26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E7F8"/>
  <w15:chartTrackingRefBased/>
  <w15:docId w15:val="{3DECEDA9-B3F0-4866-8FA9-983A9692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1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2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2018-01-29T02:34:00Z</dcterms:created>
  <dcterms:modified xsi:type="dcterms:W3CDTF">2018-01-29T02:44:00Z</dcterms:modified>
</cp:coreProperties>
</file>